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U22000040190000000014-1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11:01:26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- Гидротехническое сооружение (плотина у пруда без названия), протяженностью 167 м., площадью застройки 6285 кв.м. расположенное по адресу: Российская Федерация, Саратовская область, Калининский район, тер. Широкоуступское МО (объект расположен примерно в 0,958 км. от с. Старая Ивановка по направлению на юг)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22000040190000000014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429885/580897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10:15:37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